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60"/>
      </w:pPr>
      <w:r>
        <w:rPr>
          <w:b/>
          <w:color w:val="0B3D91"/>
          <w:sz w:val="32"/>
        </w:rPr>
        <w:t>Техподдержка Авандок.ИИ — шпаргалка для сейла</w:t>
      </w:r>
    </w:p>
    <w:p>
      <w:pPr>
        <w:spacing w:before="180" w:after="40"/>
      </w:pPr>
      <w:r>
        <w:rPr>
          <w:b/>
          <w:color w:val="0B3D91"/>
          <w:sz w:val="24"/>
        </w:rPr>
        <w:t>Кратко</w:t>
      </w:r>
    </w:p>
    <w:p>
      <w:pPr>
        <w:spacing w:before="0" w:after="60"/>
      </w:pPr>
      <w:r>
        <w:rPr>
          <w:b w:val="0"/>
          <w:sz w:val="21"/>
        </w:rPr>
        <w:t xml:space="preserve">При продаже лицензий доступна только </w:t>
      </w:r>
      <w:r>
        <w:rPr>
          <w:b/>
          <w:sz w:val="21"/>
        </w:rPr>
        <w:t>подписка на обновление</w:t>
      </w:r>
      <w:r>
        <w:rPr>
          <w:b w:val="0"/>
          <w:sz w:val="21"/>
        </w:rPr>
        <w:t>. Отдельной расширенной поддержки (как у Авандок.Платформы — с SLA и почасовой оплатой специалистов) для Авандок.ИИ нет.</w:t>
      </w:r>
    </w:p>
    <w:p>
      <w:pPr>
        <w:spacing w:before="180" w:after="40"/>
      </w:pPr>
      <w:r>
        <w:rPr>
          <w:b/>
          <w:color w:val="0B3D91"/>
          <w:sz w:val="24"/>
        </w:rPr>
        <w:t>1. При продаже лицензий (без внедрения)</w:t>
      </w:r>
    </w:p>
    <w:p>
      <w:pPr>
        <w:spacing w:before="120" w:after="40"/>
      </w:pPr>
      <w:r>
        <w:rPr>
          <w:b/>
          <w:color w:val="1A1D23"/>
          <w:sz w:val="21"/>
        </w:rPr>
        <w:t>Что входит в подписку на обновление</w:t>
      </w:r>
    </w:p>
    <w:p>
      <w:pPr>
        <w:pStyle w:val="ListBullet"/>
        <w:spacing w:before="0" w:after="20" w:line="245" w:lineRule="auto"/>
        <w:ind w:left="425"/>
      </w:pPr>
      <w:r>
        <w:rPr>
          <w:b w:val="0"/>
          <w:sz w:val="21"/>
        </w:rPr>
        <w:t>Новые версии платформы</w:t>
      </w:r>
    </w:p>
    <w:p>
      <w:pPr>
        <w:pStyle w:val="ListBullet"/>
        <w:spacing w:before="0" w:after="20" w:line="245" w:lineRule="auto"/>
        <w:ind w:left="425"/>
      </w:pPr>
      <w:r>
        <w:rPr>
          <w:b w:val="0"/>
          <w:sz w:val="21"/>
        </w:rPr>
        <w:t>Исправление ошибок, найденных в ходе эксплуатации</w:t>
      </w:r>
    </w:p>
    <w:p>
      <w:pPr>
        <w:spacing w:before="120" w:after="40"/>
      </w:pPr>
      <w:r>
        <w:rPr>
          <w:b/>
          <w:color w:val="1A1D23"/>
          <w:sz w:val="21"/>
        </w:rPr>
        <w:t>Что не входит</w:t>
      </w:r>
    </w:p>
    <w:p>
      <w:pPr>
        <w:pStyle w:val="ListBullet"/>
        <w:spacing w:before="0" w:after="20" w:line="245" w:lineRule="auto"/>
        <w:ind w:left="425"/>
      </w:pPr>
      <w:r>
        <w:rPr>
          <w:b w:val="0"/>
          <w:sz w:val="21"/>
        </w:rPr>
        <w:t>Доработки и новый функционал под клиента</w:t>
      </w:r>
    </w:p>
    <w:p>
      <w:pPr>
        <w:pStyle w:val="ListBullet"/>
        <w:spacing w:before="0" w:after="20" w:line="245" w:lineRule="auto"/>
        <w:ind w:left="425"/>
      </w:pPr>
      <w:r>
        <w:rPr>
          <w:b w:val="0"/>
          <w:sz w:val="21"/>
        </w:rPr>
        <w:t>Консультации по функционалу и разбор инцидентов по SLA</w:t>
      </w:r>
    </w:p>
    <w:p>
      <w:pPr>
        <w:pStyle w:val="ListBullet"/>
        <w:spacing w:before="0" w:after="20" w:line="245" w:lineRule="auto"/>
        <w:ind w:left="425"/>
      </w:pPr>
      <w:r>
        <w:rPr>
          <w:b w:val="0"/>
          <w:sz w:val="21"/>
        </w:rPr>
        <w:t>Администрирование серверов клиента и обучение пользователей</w:t>
      </w:r>
    </w:p>
    <w:p>
      <w:pPr>
        <w:spacing w:before="120" w:after="40"/>
      </w:pPr>
      <w:r>
        <w:rPr>
          <w:b/>
          <w:color w:val="1A1D23"/>
          <w:sz w:val="21"/>
        </w:rPr>
        <w:t>Как оплачивается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364"/>
        <w:gridCol w:w="3364"/>
        <w:gridCol w:w="3364"/>
      </w:tblGrid>
      <w:tr>
        <w:tc>
          <w:tcPr>
            <w:tcW w:type="dxa" w:w="2041"/>
            <w:shd w:val="clear" w:fill="EDF1F8"/>
          </w:tcPr>
          <w:p>
            <w:pPr>
              <w:spacing w:before="40" w:after="40"/>
            </w:pPr>
            <w:r>
              <w:rPr>
                <w:b/>
                <w:sz w:val="20"/>
              </w:rPr>
              <w:t>Тип лицензии</w:t>
            </w:r>
          </w:p>
        </w:tc>
        <w:tc>
          <w:tcPr>
            <w:tcW w:type="dxa" w:w="3175"/>
            <w:shd w:val="clear" w:fill="EDF1F8"/>
          </w:tcPr>
          <w:p>
            <w:pPr>
              <w:spacing w:before="40" w:after="40"/>
            </w:pPr>
            <w:r>
              <w:rPr>
                <w:b/>
                <w:sz w:val="20"/>
              </w:rPr>
              <w:t>1-й год</w:t>
            </w:r>
          </w:p>
        </w:tc>
        <w:tc>
          <w:tcPr>
            <w:tcW w:type="dxa" w:w="4876"/>
            <w:shd w:val="clear" w:fill="EDF1F8"/>
          </w:tcPr>
          <w:p>
            <w:pPr>
              <w:spacing w:before="40" w:after="40"/>
            </w:pPr>
            <w:r>
              <w:rPr>
                <w:b/>
                <w:sz w:val="20"/>
              </w:rPr>
              <w:t>Со 2-го года</w:t>
            </w:r>
          </w:p>
        </w:tc>
      </w:tr>
      <w:tr>
        <w:tc>
          <w:tcPr>
            <w:tcW w:type="dxa" w:w="2041"/>
          </w:tcPr>
          <w:p>
            <w:pPr>
              <w:spacing w:before="40" w:after="40"/>
            </w:pPr>
            <w:r>
              <w:rPr>
                <w:b/>
                <w:sz w:val="20"/>
              </w:rPr>
              <w:t>Срочная</w:t>
            </w:r>
          </w:p>
        </w:tc>
        <w:tc>
          <w:tcPr>
            <w:tcW w:type="dxa" w:w="3175"/>
          </w:tcPr>
          <w:p>
            <w:pPr>
              <w:spacing w:before="40" w:after="40"/>
            </w:pPr>
            <w:r>
              <w:rPr>
                <w:b w:val="0"/>
                <w:sz w:val="20"/>
              </w:rPr>
              <w:t>Включена в стоимость лицензии</w:t>
            </w:r>
          </w:p>
        </w:tc>
        <w:tc>
          <w:tcPr>
            <w:tcW w:type="dxa" w:w="4876"/>
          </w:tcPr>
          <w:p>
            <w:pPr>
              <w:spacing w:before="40" w:after="40"/>
            </w:pPr>
            <w:r>
              <w:rPr>
                <w:b w:val="0"/>
                <w:sz w:val="20"/>
              </w:rPr>
              <w:t>Включена весь срок, отдельно не оплачивается</w:t>
            </w:r>
          </w:p>
        </w:tc>
      </w:tr>
      <w:tr>
        <w:tc>
          <w:tcPr>
            <w:tcW w:type="dxa" w:w="2041"/>
          </w:tcPr>
          <w:p>
            <w:pPr>
              <w:spacing w:before="40" w:after="40"/>
            </w:pPr>
            <w:r>
              <w:rPr>
                <w:b/>
                <w:sz w:val="20"/>
              </w:rPr>
              <w:t>Бессрочная</w:t>
            </w:r>
          </w:p>
        </w:tc>
        <w:tc>
          <w:tcPr>
            <w:tcW w:type="dxa" w:w="3175"/>
          </w:tcPr>
          <w:p>
            <w:pPr>
              <w:spacing w:before="40" w:after="40"/>
            </w:pPr>
            <w:r>
              <w:rPr>
                <w:b/>
                <w:sz w:val="20"/>
              </w:rPr>
              <w:t>Бесплатно</w:t>
            </w:r>
          </w:p>
        </w:tc>
        <w:tc>
          <w:tcPr>
            <w:tcW w:type="dxa" w:w="4876"/>
          </w:tcPr>
          <w:p>
            <w:pPr>
              <w:spacing w:before="40" w:after="40"/>
            </w:pPr>
            <w:r>
              <w:rPr>
                <w:b/>
                <w:sz w:val="20"/>
              </w:rPr>
              <w:t>20%</w:t>
            </w:r>
            <w:r>
              <w:rPr>
                <w:b w:val="0"/>
                <w:sz w:val="20"/>
              </w:rPr>
              <w:t xml:space="preserve"> от стоимости лицензий в год без НДС, предоплата за год</w:t>
            </w:r>
          </w:p>
        </w:tc>
      </w:tr>
    </w:tbl>
    <w:p>
      <w:pPr>
        <w:spacing w:before="120" w:after="40"/>
      </w:pPr>
      <w:r>
        <w:rPr>
          <w:b/>
          <w:color w:val="1A1D23"/>
          <w:sz w:val="21"/>
        </w:rPr>
        <w:t>Если клиент сравнивает с Авандок.Платформой</w:t>
      </w:r>
    </w:p>
    <w:p>
      <w:pPr>
        <w:spacing w:before="20" w:after="60"/>
      </w:pPr>
      <w:r>
        <w:rPr>
          <w:b w:val="0"/>
          <w:sz w:val="21"/>
        </w:rPr>
        <w:t>У Платформы, помимо таких же обновлений (</w:t>
      </w:r>
      <w:r>
        <w:rPr>
          <w:b/>
          <w:sz w:val="21"/>
        </w:rPr>
        <w:t>20%</w:t>
      </w:r>
      <w:r>
        <w:rPr>
          <w:b w:val="0"/>
          <w:sz w:val="21"/>
        </w:rPr>
        <w:t>, 1-й год бесплатно), есть отдельная платная расширенная поддержка: консультации, работа с инцидентами по SLA, оплата по часам специалистов. Для Авандок.ИИ такой опции нет.</w:t>
      </w:r>
    </w:p>
    <w:p>
      <w:pPr>
        <w:spacing w:before="180" w:after="40"/>
      </w:pPr>
      <w:r>
        <w:rPr>
          <w:b/>
          <w:color w:val="0B3D91"/>
          <w:sz w:val="24"/>
        </w:rPr>
        <w:t>2. Если КОРУС участвует во внедрении</w:t>
      </w:r>
    </w:p>
    <w:p>
      <w:pPr>
        <w:spacing w:before="0" w:after="60"/>
      </w:pPr>
      <w:r>
        <w:rPr>
          <w:b w:val="0"/>
          <w:sz w:val="21"/>
        </w:rPr>
        <w:t xml:space="preserve">Техподдержка оформляется </w:t>
      </w:r>
      <w:r>
        <w:rPr>
          <w:b/>
          <w:sz w:val="21"/>
        </w:rPr>
        <w:t>отдельным договором вне лицензии</w:t>
      </w:r>
      <w:r>
        <w:rPr>
          <w:b w:val="0"/>
          <w:sz w:val="21"/>
        </w:rPr>
        <w:t xml:space="preserve"> и не входит в стоимость лицензий. Доступны два уровня.</w:t>
      </w:r>
    </w:p>
    <w:p>
      <w:pPr>
        <w:spacing w:before="120" w:after="40"/>
      </w:pPr>
      <w:r>
        <w:rPr>
          <w:b/>
          <w:color w:val="1A1D23"/>
          <w:sz w:val="21"/>
        </w:rPr>
        <w:t>а) Стандартная техподдержка</w:t>
      </w:r>
    </w:p>
    <w:p>
      <w:pPr>
        <w:pStyle w:val="ListBullet"/>
        <w:spacing w:before="0" w:after="20" w:line="245" w:lineRule="auto"/>
        <w:ind w:left="425"/>
      </w:pPr>
      <w:r>
        <w:rPr>
          <w:b w:val="0"/>
          <w:sz w:val="21"/>
        </w:rPr>
        <w:t>Новые версии платформы и исправление ошибок, найденных в ходе эксплуатации</w:t>
      </w:r>
    </w:p>
    <w:p>
      <w:pPr>
        <w:pStyle w:val="ListBullet"/>
        <w:spacing w:before="0" w:after="20" w:line="245" w:lineRule="auto"/>
        <w:ind w:left="425"/>
      </w:pPr>
      <w:r>
        <w:rPr>
          <w:b/>
          <w:sz w:val="21"/>
        </w:rPr>
        <w:t>20%</w:t>
      </w:r>
      <w:r>
        <w:rPr>
          <w:b w:val="0"/>
          <w:sz w:val="21"/>
        </w:rPr>
        <w:t xml:space="preserve"> от стоимости лицензий в год</w:t>
      </w:r>
    </w:p>
    <w:p>
      <w:pPr>
        <w:spacing w:before="120" w:after="40"/>
      </w:pPr>
      <w:r>
        <w:rPr>
          <w:b/>
          <w:color w:val="1A1D23"/>
          <w:sz w:val="21"/>
        </w:rPr>
        <w:t>б) Расширенная техподдержка</w:t>
      </w:r>
    </w:p>
    <w:p>
      <w:pPr>
        <w:spacing w:before="0" w:after="20"/>
      </w:pPr>
      <w:r>
        <w:rPr>
          <w:b w:val="0"/>
          <w:sz w:val="21"/>
        </w:rPr>
        <w:t xml:space="preserve">Докупается </w:t>
      </w:r>
      <w:r>
        <w:rPr>
          <w:b/>
          <w:sz w:val="21"/>
        </w:rPr>
        <w:t>только вместе со стандартной</w:t>
      </w:r>
      <w:r>
        <w:rPr>
          <w:b w:val="0"/>
          <w:sz w:val="21"/>
        </w:rPr>
        <w:t>, отдельно не продаётся. Включает:</w:t>
      </w:r>
    </w:p>
    <w:p>
      <w:pPr>
        <w:pStyle w:val="ListBullet"/>
        <w:spacing w:before="0" w:after="20" w:line="245" w:lineRule="auto"/>
        <w:ind w:left="425"/>
      </w:pPr>
      <w:r>
        <w:rPr>
          <w:b w:val="0"/>
          <w:sz w:val="21"/>
        </w:rPr>
        <w:t>Консультации администраторов</w:t>
      </w:r>
    </w:p>
    <w:p>
      <w:pPr>
        <w:pStyle w:val="ListBullet"/>
        <w:spacing w:before="0" w:after="20" w:line="245" w:lineRule="auto"/>
        <w:ind w:left="425"/>
      </w:pPr>
      <w:r>
        <w:rPr>
          <w:b w:val="0"/>
          <w:sz w:val="21"/>
        </w:rPr>
        <w:t>Разбор скрытых ошибок, выявленных в ходе эксплуатации</w:t>
      </w:r>
    </w:p>
    <w:p>
      <w:pPr>
        <w:pStyle w:val="ListBullet"/>
        <w:spacing w:before="0" w:after="20" w:line="245" w:lineRule="auto"/>
        <w:ind w:left="425"/>
      </w:pPr>
      <w:r>
        <w:rPr>
          <w:b w:val="0"/>
          <w:sz w:val="21"/>
        </w:rPr>
        <w:t xml:space="preserve">Обращения по почте, телефону и через ServiceDesk — в будни с </w:t>
      </w:r>
      <w:r>
        <w:rPr>
          <w:b/>
          <w:sz w:val="21"/>
        </w:rPr>
        <w:t>9:00 до 18:00</w:t>
      </w:r>
    </w:p>
    <w:p>
      <w:pPr>
        <w:pStyle w:val="ListBullet"/>
        <w:spacing w:before="0" w:after="20" w:line="245" w:lineRule="auto"/>
        <w:ind w:left="425"/>
      </w:pPr>
      <w:r>
        <w:rPr>
          <w:b w:val="0"/>
          <w:sz w:val="21"/>
        </w:rPr>
        <w:t>Приоритеты сбоя</w:t>
      </w:r>
    </w:p>
    <w:p>
      <w:pPr>
        <w:pStyle w:val="ListBullet"/>
        <w:spacing w:before="0" w:after="20" w:line="245" w:lineRule="auto"/>
        <w:ind w:left="425"/>
      </w:pPr>
      <w:r>
        <w:rPr>
          <w:b w:val="0"/>
          <w:sz w:val="21"/>
        </w:rPr>
        <w:t>Объём услуг — в человеко-часах</w:t>
      </w:r>
    </w:p>
    <w:p>
      <w:pPr>
        <w:pStyle w:val="ListBullet"/>
        <w:spacing w:before="0" w:after="20" w:line="245" w:lineRule="auto"/>
        <w:ind w:left="425"/>
      </w:pPr>
      <w:r>
        <w:rPr>
          <w:b w:val="0"/>
          <w:sz w:val="21"/>
        </w:rPr>
        <w:t>Цена — под проект, фиксированного прайса нет</w:t>
      </w:r>
    </w:p>
    <w:p>
      <w:pPr>
        <w:spacing w:before="180" w:after="40"/>
      </w:pPr>
      <w:r>
        <w:rPr>
          <w:b/>
          <w:color w:val="0B3D91"/>
          <w:sz w:val="24"/>
        </w:rPr>
        <w:t>Частые вопросы клиента</w:t>
      </w:r>
    </w:p>
    <w:p>
      <w:pPr>
        <w:spacing w:before="60" w:after="0"/>
      </w:pPr>
      <w:r>
        <w:rPr>
          <w:b/>
        </w:rPr>
        <w:t>— А если найдёте баг после покупки?</w:t>
      </w:r>
    </w:p>
    <w:p>
      <w:pPr>
        <w:spacing w:before="0" w:after="40"/>
        <w:ind w:left="227"/>
      </w:pPr>
      <w:r>
        <w:rPr>
          <w:b w:val="0"/>
          <w:sz w:val="21"/>
        </w:rPr>
        <w:t>Если это ошибка платформы, а не индивидуальная доработка, — исправим в рамках подписки.</w:t>
      </w:r>
    </w:p>
    <w:p>
      <w:pPr>
        <w:spacing w:before="60" w:after="0"/>
      </w:pPr>
      <w:r>
        <w:rPr>
          <w:b/>
        </w:rPr>
        <w:t>— А консультации по работе с системой входят?</w:t>
      </w:r>
    </w:p>
    <w:p>
      <w:pPr>
        <w:spacing w:before="0" w:after="40"/>
        <w:ind w:left="227"/>
      </w:pPr>
      <w:r>
        <w:rPr>
          <w:b w:val="0"/>
          <w:sz w:val="21"/>
        </w:rPr>
        <w:t>Нет, только обновления и исправление ошибок.</w:t>
      </w:r>
    </w:p>
    <w:p>
      <w:pPr>
        <w:spacing w:before="60" w:after="0"/>
      </w:pPr>
      <w:r>
        <w:rPr>
          <w:b/>
        </w:rPr>
        <w:t>— Можно докупить расширенную поддержку, как у Платформы?</w:t>
      </w:r>
    </w:p>
    <w:p>
      <w:pPr>
        <w:spacing w:before="0" w:after="40"/>
        <w:ind w:left="227"/>
      </w:pPr>
      <w:r>
        <w:rPr>
          <w:b w:val="0"/>
          <w:sz w:val="21"/>
        </w:rPr>
        <w:t>Пока отдельного предложения для Авандок.ИИ нет.</w:t>
      </w:r>
    </w:p>
    <w:sectPr w:rsidR="00FC693F" w:rsidRPr="0006063C" w:rsidSect="00034616">
      <w:pgSz w:w="11906" w:h="16838"/>
      <w:pgMar w:top="737" w:right="907" w:bottom="73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before="0" w:line="245" w:lineRule="auto"/>
    </w:pPr>
    <w:rPr>
      <w:rFonts w:ascii="Times New Roman" w:hAnsi="Times New Roman" w:eastAsia="Times New Roman"/>
      <w:color w:val="1A1D2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